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26A9B" w14:textId="04ADB229" w:rsidR="00C66DA8" w:rsidRDefault="001E2EF7" w:rsidP="001E2EF7">
      <w:pPr>
        <w:jc w:val="center"/>
        <w:rPr>
          <w:b/>
          <w:bCs/>
        </w:rPr>
      </w:pPr>
      <w:r w:rsidRPr="001E2EF7">
        <w:rPr>
          <w:b/>
          <w:bCs/>
        </w:rPr>
        <w:t>Informacje udostępniane przez spółkę Demuth Investment Trust sp. z o.o. jako Zarządzającego Alternatywną Spółką Inwestycyjną („ASI”) w wykonaniu wymogów wynikających z Ustawy z dnia 27 maja 2004 r. o funduszach inwestycyjnych i zarządzaniu alternatywnymi funduszami inwestycyjnymi (</w:t>
      </w:r>
      <w:proofErr w:type="spellStart"/>
      <w:r w:rsidRPr="001E2EF7">
        <w:rPr>
          <w:b/>
          <w:bCs/>
        </w:rPr>
        <w:t>t.j</w:t>
      </w:r>
      <w:proofErr w:type="spellEnd"/>
      <w:r w:rsidRPr="001E2EF7">
        <w:rPr>
          <w:b/>
          <w:bCs/>
        </w:rPr>
        <w:t xml:space="preserve">. Dz. U. z 2023 r. poz. 681 z </w:t>
      </w:r>
      <w:proofErr w:type="spellStart"/>
      <w:r w:rsidRPr="001E2EF7">
        <w:rPr>
          <w:b/>
          <w:bCs/>
        </w:rPr>
        <w:t>późn</w:t>
      </w:r>
      <w:proofErr w:type="spellEnd"/>
      <w:r w:rsidRPr="001E2EF7">
        <w:rPr>
          <w:b/>
          <w:bCs/>
        </w:rPr>
        <w:t>. zm.) („Ustawa ASI”)</w:t>
      </w:r>
    </w:p>
    <w:p w14:paraId="4365C5F6" w14:textId="77777777" w:rsidR="001E2EF7" w:rsidRDefault="001E2EF7" w:rsidP="001E2EF7">
      <w:pPr>
        <w:rPr>
          <w:b/>
          <w:bCs/>
        </w:rPr>
      </w:pPr>
    </w:p>
    <w:p w14:paraId="36FA2AAA" w14:textId="78E1EA46" w:rsidR="001E2EF7" w:rsidRPr="00E75D97" w:rsidRDefault="001E2EF7" w:rsidP="001E2EF7">
      <w:pPr>
        <w:pStyle w:val="Akapitzlist"/>
        <w:numPr>
          <w:ilvl w:val="0"/>
          <w:numId w:val="1"/>
        </w:numPr>
        <w:rPr>
          <w:b/>
          <w:bCs/>
          <w:u w:val="single"/>
        </w:rPr>
      </w:pPr>
      <w:r w:rsidRPr="00E75D97">
        <w:rPr>
          <w:b/>
          <w:bCs/>
          <w:u w:val="single"/>
        </w:rPr>
        <w:t>Wprowadzenie</w:t>
      </w:r>
    </w:p>
    <w:p w14:paraId="40095D3E" w14:textId="04396579" w:rsidR="007D0A57" w:rsidRDefault="001C4FB1" w:rsidP="001C4FB1">
      <w:pPr>
        <w:ind w:firstLine="567"/>
        <w:jc w:val="both"/>
      </w:pPr>
      <w:r>
        <w:t xml:space="preserve">ASI </w:t>
      </w:r>
      <w:r w:rsidR="00E03871" w:rsidRPr="00E03871">
        <w:t xml:space="preserve"> działa jako alternatywna spółka inwestycyjna zarządzana </w:t>
      </w:r>
      <w:r w:rsidR="002B1FDC">
        <w:t>zewnętrznie</w:t>
      </w:r>
      <w:r w:rsidR="00E03871" w:rsidRPr="00E03871">
        <w:t xml:space="preserve"> w rozumieniu Ustawy ASI prowadząca działalność inwestycyjną w oparciu o wpis do rejestru alternatywnych funduszy inwestycyjnych (nr wpisu w rejestrze: </w:t>
      </w:r>
      <w:r w:rsidR="00E03871" w:rsidRPr="001C4FB1">
        <w:rPr>
          <w:b/>
          <w:bCs/>
        </w:rPr>
        <w:t>PLZASI00239</w:t>
      </w:r>
      <w:r w:rsidR="00E03871" w:rsidRPr="00E03871">
        <w:t>), prowadzonego przez Urząd Komisji Nadzoru Finansowego („Komisja”). W związku z czym ASI i Zarządzający ASI podlega nadzorowi Komisji na zasadach wskazanych w przepisach Ustawy ASI oraz aktów wykonawczych do tej ustawy. W dniu 29 września 2023 roku weszła w życie nowelizacji Ustawy ASI, która wprowadziła zmiany dotyczące m.in. funkcjonowania ASI, obowiązków ASI, praw inwestorów ASI, oraz rozporządzania prawami uczestnictwa w ASI. W związku z powyższym Zarządzający ASI przedstawia informacje dotyczące (II) rzetelnego przedstawienia sytuacji finansowej ASI, (III) ryzyka związanego z nabyciem praw uczestnictwa w alternatywnej spółce inwestycyjnej, oraz (IV) zasad i zakres nadzoru sprawowanego przez Komisję nad ASI.</w:t>
      </w:r>
    </w:p>
    <w:p w14:paraId="023FC57A" w14:textId="06686F53" w:rsidR="001C4FB1" w:rsidRPr="00E75D97" w:rsidRDefault="001C4FB1" w:rsidP="001C4FB1">
      <w:pPr>
        <w:pStyle w:val="Akapitzlist"/>
        <w:numPr>
          <w:ilvl w:val="0"/>
          <w:numId w:val="1"/>
        </w:numPr>
        <w:jc w:val="both"/>
        <w:rPr>
          <w:b/>
          <w:bCs/>
          <w:u w:val="single"/>
        </w:rPr>
      </w:pPr>
      <w:r w:rsidRPr="00E75D97">
        <w:rPr>
          <w:b/>
          <w:bCs/>
          <w:u w:val="single"/>
        </w:rPr>
        <w:t>Sytuacja finansowa ASI</w:t>
      </w:r>
    </w:p>
    <w:p w14:paraId="1D3D9486" w14:textId="77777777" w:rsidR="00F41042" w:rsidRDefault="00F41042" w:rsidP="00504647">
      <w:pPr>
        <w:ind w:firstLine="567"/>
        <w:jc w:val="both"/>
      </w:pPr>
      <w:r w:rsidRPr="00F41042">
        <w:t>Zarządzający ASI jako spółka kapitałowa podlega obowiązkom sprawozdawczym wynikającym z Ustawy z dnia 29 września 1994 r. o rachunkowości (</w:t>
      </w:r>
      <w:proofErr w:type="spellStart"/>
      <w:r w:rsidRPr="00F41042">
        <w:t>t.j</w:t>
      </w:r>
      <w:proofErr w:type="spellEnd"/>
      <w:r w:rsidRPr="00F41042">
        <w:t xml:space="preserve">. Dz. U. z 2023 r. poz. 120 z </w:t>
      </w:r>
      <w:proofErr w:type="spellStart"/>
      <w:r w:rsidRPr="00F41042">
        <w:t>późn</w:t>
      </w:r>
      <w:proofErr w:type="spellEnd"/>
      <w:r w:rsidRPr="00F41042">
        <w:t xml:space="preserve">. zm.), w tym jest corocznie zobowiązany do sporządzania sprawozdań finansowych i sprawozdań z działalności jednostki, które są przygotowywane przez Zarząd ASI przy wsparciu podmiotów zewnętrznych (doradcy, księgowi). Sprawozdania są sporządzana w sposób rzetelny, przejrzysty, zgodnie ze standardami i przepisami prawa. Każde sprawozdanie ma charakter publiczny, i jest umieszczane w Krajowym Rejestrze Sądowym (KRS). Każda osoba w tym potencjalni i obecni inwestorzy ASI mają prawo w każdym momencie, przed podjęciem decyzji o inwestycji w ASI, do ściągnięcia i przeglądania danych finansowych Zarządzającego ASI, które rzetelnie odzwierciedlają jego sytuację finansową. Zarządzający ASI wskazuje poniżej link do strony internetowej KRS na które można ściągnąć i zapoznać się z dotychczas sporządzonymi sprawozdaniami finansowymi Zarządzającego ASI: </w:t>
      </w:r>
    </w:p>
    <w:p w14:paraId="7E4A36AA" w14:textId="4FA96E15" w:rsidR="00F41042" w:rsidRDefault="00F41042" w:rsidP="00F41042">
      <w:pPr>
        <w:jc w:val="both"/>
        <w:rPr>
          <w:lang w:val="en-GB"/>
        </w:rPr>
      </w:pPr>
      <w:r w:rsidRPr="00F41042">
        <w:rPr>
          <w:lang w:val="en-GB"/>
        </w:rPr>
        <w:t>https://ekrs.ms.gov.pl/rdf/pd/search_df (KRS:</w:t>
      </w:r>
      <w:r w:rsidR="003363B6" w:rsidRPr="003363B6">
        <w:rPr>
          <w:lang w:val="en-GB"/>
        </w:rPr>
        <w:t>0000916158</w:t>
      </w:r>
      <w:r w:rsidRPr="00F41042">
        <w:rPr>
          <w:lang w:val="en-GB"/>
        </w:rPr>
        <w:t>)</w:t>
      </w:r>
    </w:p>
    <w:p w14:paraId="5C5F6E11" w14:textId="2518EC3C" w:rsidR="0064730C" w:rsidRPr="00E75D97" w:rsidRDefault="0064730C" w:rsidP="0064730C">
      <w:pPr>
        <w:pStyle w:val="Akapitzlist"/>
        <w:numPr>
          <w:ilvl w:val="0"/>
          <w:numId w:val="1"/>
        </w:numPr>
        <w:jc w:val="both"/>
        <w:rPr>
          <w:b/>
          <w:bCs/>
          <w:u w:val="single"/>
        </w:rPr>
      </w:pPr>
      <w:r w:rsidRPr="00E75D97">
        <w:rPr>
          <w:b/>
          <w:bCs/>
          <w:u w:val="single"/>
        </w:rPr>
        <w:t>Ryzyka związane z nabyciem praw uczestnictwa w alternatywnej spółce inwestycyjnej</w:t>
      </w:r>
    </w:p>
    <w:p w14:paraId="3D594F7E" w14:textId="77777777" w:rsidR="00F2428A" w:rsidRDefault="0064730C" w:rsidP="00504647">
      <w:pPr>
        <w:ind w:firstLine="567"/>
        <w:jc w:val="both"/>
      </w:pPr>
      <w:r w:rsidRPr="00504647">
        <w:t xml:space="preserve">Zarządzający ASI działa w formie spółki z o.o. W związku z czym prawami uczestnictwa w ASI są udziały w sp. z o.o. Zgodnie z przepisami Ustawy ASI inwestorem alternatywnej spółki inwestycyjnej może być jedynie podmiot profesjonalny spełniający kryteria wskazane w Ustawie ASI (klient profesjonalny). Wynika to z faktu, że nabywanie udziałów ASI (praw uczestnictwa w alternatywnej spółce inwestycyjnej) wiąże się z większym ryzykiem (niż standardowe produkty bankowe czy finansowe), w tym utraty ich wartości i w konsekwencji strat po stronie inwestora. Zarządzający ASI prowadzi działalność inwestycyjną, która stanowi działalność gospodarczą (która może być obarczona ryzykiem biznesowym) polegającą na inwestowaniu zgodnie z polityką i strategią inwestycyjną ASI. Decyzje inwestycyjne są ściśle oparte na analizach danego celu </w:t>
      </w:r>
      <w:r w:rsidRPr="00504647">
        <w:lastRenderedPageBreak/>
        <w:t xml:space="preserve">inwestycyjnego we współpracy z doradcami, w tym kancelariami prawnymi, doradcami biznesowymi, finansowymi, księgowymi, czy </w:t>
      </w:r>
      <w:proofErr w:type="spellStart"/>
      <w:r w:rsidRPr="00504647">
        <w:t>human</w:t>
      </w:r>
      <w:proofErr w:type="spellEnd"/>
      <w:r w:rsidRPr="00504647">
        <w:t xml:space="preserve"> </w:t>
      </w:r>
      <w:proofErr w:type="spellStart"/>
      <w:r w:rsidRPr="00504647">
        <w:t>resources</w:t>
      </w:r>
      <w:proofErr w:type="spellEnd"/>
      <w:r w:rsidRPr="00504647">
        <w:t xml:space="preserve">. Zarządzający ASI identyfikuje następuje czynniki ryzyka związane z działalnością inwestycyjną: </w:t>
      </w:r>
    </w:p>
    <w:p w14:paraId="34FF444E" w14:textId="77777777" w:rsidR="00F2428A" w:rsidRDefault="0064730C" w:rsidP="00F2428A">
      <w:pPr>
        <w:spacing w:line="240" w:lineRule="auto"/>
        <w:jc w:val="both"/>
      </w:pPr>
      <w:r w:rsidRPr="00504647">
        <w:t xml:space="preserve">1. Ryzyko związane z sytuacją makroekonomiczną w Polsce i na świecie, </w:t>
      </w:r>
    </w:p>
    <w:p w14:paraId="64AFBACD" w14:textId="77777777" w:rsidR="00F2428A" w:rsidRDefault="0064730C" w:rsidP="00F2428A">
      <w:pPr>
        <w:spacing w:line="240" w:lineRule="auto"/>
        <w:jc w:val="both"/>
      </w:pPr>
      <w:r w:rsidRPr="00504647">
        <w:t xml:space="preserve">2. Ryzyko związane z otoczeniem konkurencyjnym, </w:t>
      </w:r>
    </w:p>
    <w:p w14:paraId="076D02FB" w14:textId="77777777" w:rsidR="00F2428A" w:rsidRDefault="0064730C" w:rsidP="00F2428A">
      <w:pPr>
        <w:spacing w:line="240" w:lineRule="auto"/>
        <w:jc w:val="both"/>
      </w:pPr>
      <w:r w:rsidRPr="00504647">
        <w:t xml:space="preserve">3. Ryzyko wystąpienia nieprzewidywalnych zdarzeń, </w:t>
      </w:r>
    </w:p>
    <w:p w14:paraId="4188E520" w14:textId="77777777" w:rsidR="00F2428A" w:rsidRDefault="0064730C" w:rsidP="00F2428A">
      <w:pPr>
        <w:spacing w:line="240" w:lineRule="auto"/>
        <w:jc w:val="both"/>
      </w:pPr>
      <w:r w:rsidRPr="00504647">
        <w:t xml:space="preserve">4. Ryzyko utraty kluczowych zasobów ludzkich, </w:t>
      </w:r>
    </w:p>
    <w:p w14:paraId="71C00BCF" w14:textId="77777777" w:rsidR="00F2428A" w:rsidRDefault="0064730C" w:rsidP="00F2428A">
      <w:pPr>
        <w:spacing w:line="240" w:lineRule="auto"/>
        <w:jc w:val="both"/>
      </w:pPr>
      <w:r w:rsidRPr="00504647">
        <w:t xml:space="preserve">5. Ryzyko inwestycyjne, </w:t>
      </w:r>
    </w:p>
    <w:p w14:paraId="509A2B56" w14:textId="77777777" w:rsidR="00F2428A" w:rsidRDefault="0064730C" w:rsidP="00F2428A">
      <w:pPr>
        <w:spacing w:line="240" w:lineRule="auto"/>
        <w:jc w:val="both"/>
      </w:pPr>
      <w:r w:rsidRPr="00504647">
        <w:t xml:space="preserve">6. Ryzyko związane z dokonywanie inwestycji zagranicznych, </w:t>
      </w:r>
    </w:p>
    <w:p w14:paraId="754DE2C8" w14:textId="77777777" w:rsidR="00F2428A" w:rsidRDefault="0064730C" w:rsidP="00F2428A">
      <w:pPr>
        <w:spacing w:line="240" w:lineRule="auto"/>
        <w:jc w:val="both"/>
      </w:pPr>
      <w:r w:rsidRPr="00504647">
        <w:t xml:space="preserve">7. Ryzyko związanie z dokonywaniem wyjść z inwestycji, </w:t>
      </w:r>
    </w:p>
    <w:p w14:paraId="1010B0E6" w14:textId="77777777" w:rsidR="00F2428A" w:rsidRDefault="0064730C" w:rsidP="00F2428A">
      <w:pPr>
        <w:spacing w:line="240" w:lineRule="auto"/>
        <w:jc w:val="both"/>
      </w:pPr>
      <w:r w:rsidRPr="00504647">
        <w:t xml:space="preserve">8. Ryzyko walutowe, </w:t>
      </w:r>
    </w:p>
    <w:p w14:paraId="3D2F15F7" w14:textId="77777777" w:rsidR="00F2428A" w:rsidRDefault="0064730C" w:rsidP="00F2428A">
      <w:pPr>
        <w:spacing w:line="240" w:lineRule="auto"/>
        <w:jc w:val="both"/>
      </w:pPr>
      <w:r w:rsidRPr="00504647">
        <w:t xml:space="preserve">9. Ryzyko zmian w przepisach prawnych lub ich interpretacji. </w:t>
      </w:r>
    </w:p>
    <w:p w14:paraId="18F1A890" w14:textId="77777777" w:rsidR="00E75D97" w:rsidRDefault="0064730C" w:rsidP="00F2428A">
      <w:pPr>
        <w:jc w:val="both"/>
      </w:pPr>
      <w:r w:rsidRPr="00504647">
        <w:t xml:space="preserve">Zarządzający ASI informuje, że nie gwarantuje zysków ani innych korzyści wynikających z nabycia udziałów ASI. Ponadto nie gwarantuje osiągnięcia zysku, a historyczne wyniki ASI nie stanowią gwarancji uzyskania podobnych wyników w przyszłości. Każdy potencjalny inwestor przed podjęciem decyzji w zakresie objęcia udziałów ASI, jest zobowiązany do przeprowadzenia we własnym zakresie analiz „za” i „przeciw” i podjęcia takiej decyzji inwestycyjnej (biznesowej) samodzielnie. </w:t>
      </w:r>
    </w:p>
    <w:p w14:paraId="60D81972" w14:textId="4232263C" w:rsidR="0064730C" w:rsidRPr="00504647" w:rsidRDefault="0064730C" w:rsidP="00F2428A">
      <w:pPr>
        <w:jc w:val="both"/>
      </w:pPr>
      <w:r w:rsidRPr="00504647">
        <w:t>Powyższe nie zwalnia Zarządzającego ASI i ASI z prowadzenia działalności inwestycyjnej w oparciu o najwyższe standardy profesjonalizmu, zgodnie z przepisami prawa, uchwaloną polityką i strategią inwestycyjną (z którymi potencjalny inwestor będzie mógł się zapoznać przed podjęciem decyzji o inwestycji w ASI).</w:t>
      </w:r>
    </w:p>
    <w:p w14:paraId="3B6056BE" w14:textId="22181DB9" w:rsidR="0064730C" w:rsidRPr="00E75D97" w:rsidRDefault="00D677CB" w:rsidP="0064730C">
      <w:pPr>
        <w:pStyle w:val="Akapitzlist"/>
        <w:numPr>
          <w:ilvl w:val="0"/>
          <w:numId w:val="1"/>
        </w:numPr>
        <w:jc w:val="both"/>
        <w:rPr>
          <w:b/>
          <w:bCs/>
          <w:u w:val="single"/>
        </w:rPr>
      </w:pPr>
      <w:r w:rsidRPr="00E75D97">
        <w:rPr>
          <w:b/>
          <w:bCs/>
          <w:u w:val="single"/>
        </w:rPr>
        <w:t>Zasady i zakres nadzoru sprawowanego przez Urząd Komisji Nadzoru Finansowego</w:t>
      </w:r>
    </w:p>
    <w:p w14:paraId="57EF5811" w14:textId="77777777" w:rsidR="00504647" w:rsidRDefault="00D677CB" w:rsidP="00504647">
      <w:pPr>
        <w:ind w:firstLine="567"/>
        <w:jc w:val="both"/>
      </w:pPr>
      <w:r w:rsidRPr="00504647">
        <w:t xml:space="preserve">Poniżej Zarządzający ASI przedstawia najważniejsze zasady nadzoru Zarządzającego ASI i ASI przez Komisję: </w:t>
      </w:r>
    </w:p>
    <w:p w14:paraId="23A451DC" w14:textId="464607B1" w:rsidR="00504647" w:rsidRPr="00E75D97" w:rsidRDefault="00D677CB" w:rsidP="00504647">
      <w:pPr>
        <w:jc w:val="both"/>
        <w:rPr>
          <w:u w:val="single"/>
        </w:rPr>
      </w:pPr>
      <w:r w:rsidRPr="00E75D97">
        <w:rPr>
          <w:u w:val="single"/>
        </w:rPr>
        <w:t>Sprawozdania przekazywane Komisji</w:t>
      </w:r>
    </w:p>
    <w:p w14:paraId="02523444" w14:textId="77777777" w:rsidR="00504647" w:rsidRDefault="00D677CB" w:rsidP="00504647">
      <w:pPr>
        <w:jc w:val="both"/>
      </w:pPr>
      <w:r w:rsidRPr="00504647">
        <w:t xml:space="preserve">Zarządzający ASI sporządza i przekazuje Komisji okresowe sprawozdania dotyczące: 1) działalności inwestycyjnej, 2) płynności i zarządzania ryzykiem, 3) stosowania dźwigni finansowej AFI, (o ile dotyczy). Zarządzający ASI przekazuje Komisji na jej żądanie dodatkowe informacje niezbędne do monitorowania skutków jej działalności o znaczeniu istotnym dla funkcjonowania rynku finansowego. Komisja przekazuje niezwłocznie Prezesowi Narodowego Banku Polskiego sprawozdanie Zarządzającego ASI. Zarządzający ASI w terminie 6 miesięcy od dnia zakończenia roku obrotowego przekazują Komisji oraz inwestorom ASI na ich żądanie sprawozdanie roczne. Corocznie takie sprawozdanie podlega badaniu przez biegłego rewidenta w ramach badania rocznego sprawozdania finansowego danego alternatywnego funduszu inwestycyjnego. Zarządzający ASI jest również obowiązany do przekazywania Komisji informacji uzupełniających niezbędnych do monitorowania ryzyka systemowego. </w:t>
      </w:r>
    </w:p>
    <w:p w14:paraId="4D861617" w14:textId="77777777" w:rsidR="00E75D97" w:rsidRDefault="00E75D97" w:rsidP="00504647">
      <w:pPr>
        <w:jc w:val="both"/>
      </w:pPr>
    </w:p>
    <w:p w14:paraId="22098F1F" w14:textId="77777777" w:rsidR="00E75D97" w:rsidRDefault="00E75D97" w:rsidP="00504647">
      <w:pPr>
        <w:jc w:val="both"/>
      </w:pPr>
    </w:p>
    <w:p w14:paraId="326FD049" w14:textId="2C0A4BC5" w:rsidR="00E75D97" w:rsidRPr="00E75D97" w:rsidRDefault="00D677CB" w:rsidP="00504647">
      <w:pPr>
        <w:jc w:val="both"/>
        <w:rPr>
          <w:b/>
          <w:bCs/>
        </w:rPr>
      </w:pPr>
      <w:r w:rsidRPr="00E75D97">
        <w:rPr>
          <w:b/>
          <w:bCs/>
        </w:rPr>
        <w:lastRenderedPageBreak/>
        <w:t>Zakres nadzoru Komisji</w:t>
      </w:r>
    </w:p>
    <w:p w14:paraId="276177BF" w14:textId="4E9482EE" w:rsidR="00504647" w:rsidRDefault="00D677CB" w:rsidP="00E75D97">
      <w:pPr>
        <w:ind w:firstLine="708"/>
        <w:jc w:val="both"/>
      </w:pPr>
      <w:r w:rsidRPr="00504647">
        <w:t xml:space="preserve">Nadzór Komisji w zakresie zgodności z prawem wykonywania działalności określonej w Ustawie ASI obejmuje zgodność tej działalności z przepisami Ustawy ASI i przepisami wydanymi na jej podstawie oraz z bezpośrednio stosowanymi przepisami prawa wspólnotowego regulującymi działalność w zakresie zbiorowego inwestowania oraz działalność zarządzania alternatywnymi funduszami inwestycyjnymi, a także z mającymi zastosowanie do tych działalności przepisami. </w:t>
      </w:r>
    </w:p>
    <w:p w14:paraId="48C05ACA" w14:textId="5306AA44" w:rsidR="00504647" w:rsidRPr="00E75D97" w:rsidRDefault="00D677CB" w:rsidP="00504647">
      <w:pPr>
        <w:jc w:val="both"/>
        <w:rPr>
          <w:b/>
          <w:bCs/>
        </w:rPr>
      </w:pPr>
      <w:r w:rsidRPr="00E75D97">
        <w:rPr>
          <w:b/>
          <w:bCs/>
        </w:rPr>
        <w:t>Obowiązki informacyjne względem Komisji</w:t>
      </w:r>
    </w:p>
    <w:p w14:paraId="25BE814E" w14:textId="77777777" w:rsidR="00504647" w:rsidRDefault="00D677CB" w:rsidP="00504647">
      <w:pPr>
        <w:jc w:val="both"/>
      </w:pPr>
      <w:r w:rsidRPr="00504647">
        <w:t xml:space="preserve">Zarządzający ASI ma obowiązek dostarczania Komisji bieżących informacji dotyczących jego działalności i sytuacji finansowej, jak również dostarczania, na żądanie Komisji lub jej upoważnionego przedstawiciela, informacji, dokumentów lub wyjaśnień niezbędnych do wykonywania efektywnego nadzoru. </w:t>
      </w:r>
    </w:p>
    <w:p w14:paraId="1D7DE434" w14:textId="68AEAD1B" w:rsidR="00504647" w:rsidRPr="00E75D97" w:rsidRDefault="00D677CB" w:rsidP="00504647">
      <w:pPr>
        <w:jc w:val="both"/>
        <w:rPr>
          <w:b/>
          <w:bCs/>
        </w:rPr>
      </w:pPr>
      <w:r w:rsidRPr="00E75D97">
        <w:rPr>
          <w:b/>
          <w:bCs/>
        </w:rPr>
        <w:t>Zastrzeżenia Komisji w razie stwierdzenia przypadków naruszeń</w:t>
      </w:r>
    </w:p>
    <w:p w14:paraId="606D55DE" w14:textId="187361DC" w:rsidR="00D677CB" w:rsidRPr="00504647" w:rsidRDefault="00D677CB" w:rsidP="00504647">
      <w:pPr>
        <w:jc w:val="both"/>
      </w:pPr>
      <w:r w:rsidRPr="00504647">
        <w:t xml:space="preserve">W razie stwierdzenia na podstawie uzyskanych informacji, wyjaśnień i dokumentów przypadków naruszeń prawa lub interesu inwestorów ASI, Komisja może powiadomić Zarządzającego ASI i inne z nim współpracujące podmioty o stwierdzonych nieprawidłowościach oraz wyznaczyć termin do ich usunięcia. Zarządzający ASI może w terminie 7 dni od dnia doręczenia powiadomienia pisemnie zgłosić umotywowane zastrzeżenia do treści powiadomienia. Jeżeli uchybi on terminowi, Komisja na prośbę Zarządzającego ASI może przywrócić ten termin. Przywrócenie terminu może nastąpić, jeżeli Zarządzający ASI uprawdopodobni, że uchybienie nastąpiło bez jego winy. Komisja informuje pisemnie Zarządzającego ASI o przywróceniu terminu albo o odmowie jego przywrócenia. Komisja po rozpatrzeniu zastrzeżeń powiadamia Zarządzającego ASI o sposobie ich rozpatrzenia. W powiadomieniu o rozpatrzeniu zastrzeżeń Komisja może: 1) uwzględnić zastrzeżenia w całości lub w części i dokonać odpowiedniej zmiany w treści powiadomienia; 2) nie uwzględnić zastrzeżeń, jeżeli są bezzasadne. W terminie 3 dni od dnia upływu terminu wyznaczonego do usunięcia nieprawidłowości, Zarządzający ASI informuje pisemnie Komisję o sposobie usunięcia nieprawidłowości. W razie nieusunięcia nieprawidłowości w wyznaczonym terminie, Komisja może zastosować wobec Zarządzającego ASI odpowiednio sankcje określone w Ustawie ASI. [Postępowanie kontrolne] Na podstawie upoważnienia wydanego przez Przewodniczącego Komisji osoba w nim wskazana ma prawo wstępu do pomieszczeń Zarządzającego ASI w celu sprawdzenia, czy jego działalność jest zgodna z prawem. [Nakazanie zaprzestania działań] Komisja może nakazać Zarządzającemu ASI, który narusza przepisy prawa, a także jeżeli zarządzana przez niego ASI narusza przepisy - zaprzestanie tych działań. Środek ten może być stosowany bez względu na zastosowanie innych sankcji określonych w Ustawie ASI. [Monitorowanie stosowania dźwigni finansowej AFI] Komisja monitoruje stosowanie przez Zarządzającego ASI dźwigni finansowej AFI w odniesieniu do ASI w celu ustalenia, w jakim stopniu jej stosowanie przyczynia się do narastania ryzyka systemowego, ryzyka zakłóceń na rynkach lub zagrożeń dla rozwoju gospodarczego. Na żądanie Komisji Zarządzający ASI jest obowiązany wykazać w odniesieniu do ASI, że ustalone przez niego limity dźwigni finansowej AFI są odpowiednie i stale przestrzegane. Komisja monitoruje ryzyka związane ze stosowaniem dźwigni finansowej AFI. W przypadku gdy stosowana metoda może przyczynić się do narastania ryzyka systemowego lub ryzyka zakłóceń na rynkach, Komisja, w celu zapewnienia stabilności i bezpieczeństwa systemu finansowego, w drodze decyzji, może: 1) określić limity dźwigni finansowej AFI, którą Zarządzający ASI ma prawo stosować, lub 2)nałożyć na Zarządzającego ASI inne ograniczenia w zarządzaniu ASI w celu zmniejszenia ryzyka związanego </w:t>
      </w:r>
      <w:r w:rsidRPr="00504647">
        <w:lastRenderedPageBreak/>
        <w:t>ze stosowaną dźwignią finansową AFI (wyznaczając okres stosowania podjętych środków). Okres stosowania tych środków może zostać, w drodze decyzji, przedłużony. Komisja informuje niezwłocznie Prezesa Narodowego Banku Polskiego o takiej decyzji. [Odpowiedzialność Zarządzającego ASI i sankcje] W przypadku gdy Zarządzający ASI naruszy przepisy prawa, Komisja może, w drodze decyzji: 1) wykreślić Zarządzającego ASI z rejestru zarządzających ASI albo 2) nałożyć karę pieniężną w wysokości do 500 000 zł na członka zarządu Zarządzającego ASI odpowiedzialnego za zaistniałe naruszenie. Sankcja ta może być zastosowana łącznie z innymi sankcjami. Komisja może nadać decyzji rygor natychmiastowej wykonalności oraz może nakazać ogłoszenie decyzji w dwóch dziennikach ogólnopolskich lub w inny sposób na koszt ASI, jeżeli jest to szczególnie istotne ze względu na ochronę interesów uczestników. [Przyjmowanie przez Komisję zgłoszeń o naruszeniu lub podejrzeniu naruszenia] Komisja przyjmuje zgłoszenia o naruszeniu lub podejrzeniu naruszenia przepisów Ustawy ASI przez ASI i Zarządzających ASI. Komisja wskazuje na swojej stronie internetowej bezpieczne kanały komunikacji, za pośrednictwem których jest możliwe dokonywanie</w:t>
      </w:r>
      <w:r w:rsidR="00504647" w:rsidRPr="00504647">
        <w:t xml:space="preserve"> zgłoszeń naruszenia lub podejrzenia naruszenia przepisów Ustawy ASI (https://www.knf.gov.pl/komunikacja/zglaszanie_naruszen).</w:t>
      </w:r>
    </w:p>
    <w:sectPr w:rsidR="00D677CB" w:rsidRPr="00504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2CB7"/>
    <w:multiLevelType w:val="hybridMultilevel"/>
    <w:tmpl w:val="64CEA424"/>
    <w:lvl w:ilvl="0" w:tplc="9042BD6C">
      <w:start w:val="1"/>
      <w:numFmt w:val="decimal"/>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66323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D1"/>
    <w:rsid w:val="00073C04"/>
    <w:rsid w:val="00131D9C"/>
    <w:rsid w:val="001C4FB1"/>
    <w:rsid w:val="001E2EF7"/>
    <w:rsid w:val="00222C36"/>
    <w:rsid w:val="002B1FDC"/>
    <w:rsid w:val="003363B6"/>
    <w:rsid w:val="004A4DD1"/>
    <w:rsid w:val="00504647"/>
    <w:rsid w:val="005F4B7C"/>
    <w:rsid w:val="0064730C"/>
    <w:rsid w:val="007D0A57"/>
    <w:rsid w:val="00844779"/>
    <w:rsid w:val="00B46DCB"/>
    <w:rsid w:val="00C66DA8"/>
    <w:rsid w:val="00D40FAF"/>
    <w:rsid w:val="00D677CB"/>
    <w:rsid w:val="00E03871"/>
    <w:rsid w:val="00E75D97"/>
    <w:rsid w:val="00F2428A"/>
    <w:rsid w:val="00F41042"/>
    <w:rsid w:val="00F94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5147"/>
  <w15:chartTrackingRefBased/>
  <w15:docId w15:val="{E273CB4F-8E3A-4301-9D92-8A35F5A3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3C04"/>
  </w:style>
  <w:style w:type="paragraph" w:styleId="Nagwek1">
    <w:name w:val="heading 1"/>
    <w:basedOn w:val="Normalny"/>
    <w:next w:val="Normalny"/>
    <w:link w:val="Nagwek1Znak"/>
    <w:uiPriority w:val="9"/>
    <w:qFormat/>
    <w:rsid w:val="004A4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A4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A4DD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A4DD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A4DD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A4D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4D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4D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4D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4DD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A4DD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A4DD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A4DD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A4DD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A4D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A4D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A4D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A4DD1"/>
    <w:rPr>
      <w:rFonts w:eastAsiaTheme="majorEastAsia" w:cstheme="majorBidi"/>
      <w:color w:val="272727" w:themeColor="text1" w:themeTint="D8"/>
    </w:rPr>
  </w:style>
  <w:style w:type="paragraph" w:styleId="Tytu">
    <w:name w:val="Title"/>
    <w:basedOn w:val="Normalny"/>
    <w:next w:val="Normalny"/>
    <w:link w:val="TytuZnak"/>
    <w:uiPriority w:val="10"/>
    <w:qFormat/>
    <w:rsid w:val="004A4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4D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A4D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4D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A4DD1"/>
    <w:pPr>
      <w:spacing w:before="160"/>
      <w:jc w:val="center"/>
    </w:pPr>
    <w:rPr>
      <w:i/>
      <w:iCs/>
      <w:color w:val="404040" w:themeColor="text1" w:themeTint="BF"/>
    </w:rPr>
  </w:style>
  <w:style w:type="character" w:customStyle="1" w:styleId="CytatZnak">
    <w:name w:val="Cytat Znak"/>
    <w:basedOn w:val="Domylnaczcionkaakapitu"/>
    <w:link w:val="Cytat"/>
    <w:uiPriority w:val="29"/>
    <w:rsid w:val="004A4DD1"/>
    <w:rPr>
      <w:i/>
      <w:iCs/>
      <w:color w:val="404040" w:themeColor="text1" w:themeTint="BF"/>
    </w:rPr>
  </w:style>
  <w:style w:type="paragraph" w:styleId="Akapitzlist">
    <w:name w:val="List Paragraph"/>
    <w:basedOn w:val="Normalny"/>
    <w:uiPriority w:val="34"/>
    <w:qFormat/>
    <w:rsid w:val="004A4DD1"/>
    <w:pPr>
      <w:ind w:left="720"/>
      <w:contextualSpacing/>
    </w:pPr>
  </w:style>
  <w:style w:type="character" w:styleId="Wyrnienieintensywne">
    <w:name w:val="Intense Emphasis"/>
    <w:basedOn w:val="Domylnaczcionkaakapitu"/>
    <w:uiPriority w:val="21"/>
    <w:qFormat/>
    <w:rsid w:val="004A4DD1"/>
    <w:rPr>
      <w:i/>
      <w:iCs/>
      <w:color w:val="0F4761" w:themeColor="accent1" w:themeShade="BF"/>
    </w:rPr>
  </w:style>
  <w:style w:type="paragraph" w:styleId="Cytatintensywny">
    <w:name w:val="Intense Quote"/>
    <w:basedOn w:val="Normalny"/>
    <w:next w:val="Normalny"/>
    <w:link w:val="CytatintensywnyZnak"/>
    <w:uiPriority w:val="30"/>
    <w:qFormat/>
    <w:rsid w:val="004A4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A4DD1"/>
    <w:rPr>
      <w:i/>
      <w:iCs/>
      <w:color w:val="0F4761" w:themeColor="accent1" w:themeShade="BF"/>
    </w:rPr>
  </w:style>
  <w:style w:type="character" w:styleId="Odwoanieintensywne">
    <w:name w:val="Intense Reference"/>
    <w:basedOn w:val="Domylnaczcionkaakapitu"/>
    <w:uiPriority w:val="32"/>
    <w:qFormat/>
    <w:rsid w:val="004A4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04459">
      <w:bodyDiv w:val="1"/>
      <w:marLeft w:val="0"/>
      <w:marRight w:val="0"/>
      <w:marTop w:val="0"/>
      <w:marBottom w:val="0"/>
      <w:divBdr>
        <w:top w:val="none" w:sz="0" w:space="0" w:color="auto"/>
        <w:left w:val="none" w:sz="0" w:space="0" w:color="auto"/>
        <w:bottom w:val="none" w:sz="0" w:space="0" w:color="auto"/>
        <w:right w:val="none" w:sz="0" w:space="0" w:color="auto"/>
      </w:divBdr>
    </w:div>
    <w:div w:id="12864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1577</Words>
  <Characters>9468</Characters>
  <Application>Microsoft Office Word</Application>
  <DocSecurity>4</DocSecurity>
  <Lines>78</Lines>
  <Paragraphs>22</Paragraphs>
  <ScaleCrop>false</ScaleCrop>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Głażewska</dc:creator>
  <cp:keywords/>
  <dc:description/>
  <cp:lastModifiedBy>Mariusz Turula</cp:lastModifiedBy>
  <cp:revision>2</cp:revision>
  <dcterms:created xsi:type="dcterms:W3CDTF">2024-10-11T09:42:00Z</dcterms:created>
  <dcterms:modified xsi:type="dcterms:W3CDTF">2024-10-11T09:42:00Z</dcterms:modified>
</cp:coreProperties>
</file>